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Comments to “Discussion paper – Extension Modifications to the International Release,” Australian Digital Health Agency, Matt Cordell, August 2, 2016</w:t>
      </w:r>
    </w:p>
    <w:p>
      <w:pPr>
        <w:pStyle w:val="Normal"/>
        <w:rPr/>
      </w:pPr>
      <w:r>
        <w:rPr/>
      </w:r>
    </w:p>
    <w:tbl>
      <w:tblPr>
        <w:tblStyle w:val="TableGrid"/>
        <w:tblW w:w="14884" w:type="dxa"/>
        <w:jc w:val="left"/>
        <w:tblInd w:w="-577" w:type="dxa"/>
        <w:tblCellMar>
          <w:top w:w="0" w:type="dxa"/>
          <w:left w:w="103" w:type="dxa"/>
          <w:bottom w:w="0" w:type="dxa"/>
          <w:right w:w="108" w:type="dxa"/>
        </w:tblCellMar>
        <w:tblLook w:val="04a0" w:noVBand="1" w:noHBand="0" w:lastColumn="0" w:firstColumn="1" w:lastRow="0" w:firstRow="1"/>
      </w:tblPr>
      <w:tblGrid>
        <w:gridCol w:w="1559"/>
        <w:gridCol w:w="1843"/>
        <w:gridCol w:w="1701"/>
        <w:gridCol w:w="9780"/>
      </w:tblGrid>
      <w:tr>
        <w:trPr/>
        <w:tc>
          <w:tcPr>
            <w:tcW w:w="1559" w:type="dxa"/>
            <w:tcBorders/>
            <w:shd w:fill="auto" w:val="clear"/>
            <w:tcMar>
              <w:left w:w="103" w:type="dxa"/>
            </w:tcMar>
          </w:tcPr>
          <w:p>
            <w:pPr>
              <w:pStyle w:val="Normal"/>
              <w:spacing w:lineRule="auto" w:line="240" w:before="0" w:after="0"/>
              <w:rPr/>
            </w:pPr>
            <w:r>
              <w:rPr/>
              <w:t>Comment type</w:t>
            </w:r>
          </w:p>
        </w:tc>
        <w:tc>
          <w:tcPr>
            <w:tcW w:w="1843" w:type="dxa"/>
            <w:tcBorders/>
            <w:shd w:fill="auto" w:val="clear"/>
            <w:tcMar>
              <w:left w:w="103" w:type="dxa"/>
            </w:tcMar>
          </w:tcPr>
          <w:p>
            <w:pPr>
              <w:pStyle w:val="Normal"/>
              <w:spacing w:lineRule="auto" w:line="240" w:before="0" w:after="0"/>
              <w:rPr/>
            </w:pPr>
            <w:r>
              <w:rPr/>
              <w:t>Reference</w:t>
            </w:r>
          </w:p>
        </w:tc>
        <w:tc>
          <w:tcPr>
            <w:tcW w:w="1701" w:type="dxa"/>
            <w:tcBorders/>
            <w:shd w:fill="auto" w:val="clear"/>
            <w:tcMar>
              <w:left w:w="103" w:type="dxa"/>
            </w:tcMar>
          </w:tcPr>
          <w:p>
            <w:pPr>
              <w:pStyle w:val="Normal"/>
              <w:spacing w:lineRule="auto" w:line="240" w:before="0" w:after="0"/>
              <w:rPr/>
            </w:pPr>
            <w:r>
              <w:rPr/>
              <w:t>Section text</w:t>
            </w:r>
          </w:p>
        </w:tc>
        <w:tc>
          <w:tcPr>
            <w:tcW w:w="9780" w:type="dxa"/>
            <w:tcBorders/>
            <w:shd w:fill="auto" w:val="clear"/>
            <w:tcMar>
              <w:left w:w="103" w:type="dxa"/>
            </w:tcMar>
          </w:tcPr>
          <w:p>
            <w:pPr>
              <w:pStyle w:val="Normal"/>
              <w:spacing w:lineRule="auto" w:line="240" w:before="0" w:after="0"/>
              <w:rPr/>
            </w:pPr>
            <w:r>
              <w:rPr/>
              <w:t>Comment</w:t>
            </w:r>
          </w:p>
        </w:tc>
      </w:tr>
      <w:tr>
        <w:trPr/>
        <w:tc>
          <w:tcPr>
            <w:tcW w:w="1559" w:type="dxa"/>
            <w:tcBorders/>
            <w:shd w:fill="auto" w:val="clear"/>
            <w:tcMar>
              <w:left w:w="103" w:type="dxa"/>
            </w:tcMar>
          </w:tcPr>
          <w:p>
            <w:pPr>
              <w:pStyle w:val="Normal"/>
              <w:spacing w:lineRule="auto" w:line="240" w:before="0" w:after="0"/>
              <w:rPr/>
            </w:pPr>
            <w:r>
              <w:rPr/>
              <w:t>General</w:t>
            </w:r>
          </w:p>
        </w:tc>
        <w:tc>
          <w:tcPr>
            <w:tcW w:w="1843" w:type="dxa"/>
            <w:tcBorders/>
            <w:shd w:fill="auto" w:val="clear"/>
            <w:tcMar>
              <w:left w:w="103" w:type="dxa"/>
            </w:tcMar>
          </w:tcPr>
          <w:p>
            <w:pPr>
              <w:pStyle w:val="Normal"/>
              <w:spacing w:lineRule="auto" w:line="240" w:before="0" w:after="0"/>
              <w:rPr/>
            </w:pPr>
            <w:r>
              <w:rPr/>
              <w:t>Whole document</w:t>
            </w:r>
          </w:p>
        </w:tc>
        <w:tc>
          <w:tcPr>
            <w:tcW w:w="1701" w:type="dxa"/>
            <w:tcBorders/>
            <w:shd w:fill="auto" w:val="clear"/>
            <w:tcMar>
              <w:left w:w="103" w:type="dxa"/>
            </w:tcMar>
          </w:tcPr>
          <w:p>
            <w:pPr>
              <w:pStyle w:val="Normal"/>
              <w:spacing w:lineRule="auto" w:line="240" w:before="0" w:after="0"/>
              <w:rPr/>
            </w:pPr>
            <w:r>
              <w:rPr/>
            </w:r>
          </w:p>
        </w:tc>
        <w:tc>
          <w:tcPr>
            <w:tcW w:w="9780" w:type="dxa"/>
            <w:tcBorders/>
            <w:shd w:fill="auto" w:val="clear"/>
            <w:tcMar>
              <w:left w:w="103" w:type="dxa"/>
            </w:tcMar>
          </w:tcPr>
          <w:p>
            <w:pPr>
              <w:pStyle w:val="Normal"/>
              <w:spacing w:lineRule="auto" w:line="240" w:before="0" w:after="0"/>
              <w:rPr/>
            </w:pPr>
            <w:r>
              <w:rPr/>
              <w:t>This document is in it self proof that clarification on this issue is needed.</w:t>
            </w:r>
          </w:p>
        </w:tc>
      </w:tr>
      <w:tr>
        <w:trPr/>
        <w:tc>
          <w:tcPr>
            <w:tcW w:w="1559" w:type="dxa"/>
            <w:tcBorders/>
            <w:shd w:fill="auto" w:val="clear"/>
            <w:tcMar>
              <w:left w:w="103" w:type="dxa"/>
            </w:tcMar>
          </w:tcPr>
          <w:p>
            <w:pPr>
              <w:pStyle w:val="Normal"/>
              <w:spacing w:lineRule="auto" w:line="240" w:before="0" w:after="0"/>
              <w:rPr/>
            </w:pPr>
            <w:r>
              <w:rPr/>
              <w:t>Technical</w:t>
            </w:r>
          </w:p>
        </w:tc>
        <w:tc>
          <w:tcPr>
            <w:tcW w:w="1843" w:type="dxa"/>
            <w:tcBorders/>
            <w:shd w:fill="auto" w:val="clear"/>
            <w:tcMar>
              <w:left w:w="103" w:type="dxa"/>
            </w:tcMar>
          </w:tcPr>
          <w:p>
            <w:pPr>
              <w:pStyle w:val="Normal"/>
              <w:spacing w:lineRule="auto" w:line="240" w:before="0" w:after="0"/>
              <w:rPr/>
            </w:pPr>
            <w:r>
              <w:rPr/>
              <w:t>Whole document</w:t>
            </w:r>
          </w:p>
        </w:tc>
        <w:tc>
          <w:tcPr>
            <w:tcW w:w="1701" w:type="dxa"/>
            <w:tcBorders/>
            <w:shd w:fill="auto" w:val="clear"/>
            <w:tcMar>
              <w:left w:w="103" w:type="dxa"/>
            </w:tcMar>
          </w:tcPr>
          <w:p>
            <w:pPr>
              <w:pStyle w:val="Normal"/>
              <w:spacing w:lineRule="auto" w:line="240" w:before="0" w:after="0"/>
              <w:rPr/>
            </w:pPr>
            <w:r>
              <w:rPr/>
            </w:r>
          </w:p>
        </w:tc>
        <w:tc>
          <w:tcPr>
            <w:tcW w:w="9780" w:type="dxa"/>
            <w:tcBorders/>
            <w:shd w:fill="auto" w:val="clear"/>
            <w:tcMar>
              <w:left w:w="103" w:type="dxa"/>
            </w:tcMar>
          </w:tcPr>
          <w:p>
            <w:pPr>
              <w:pStyle w:val="Normal"/>
              <w:spacing w:lineRule="auto" w:line="240" w:before="0" w:after="0"/>
              <w:rPr/>
            </w:pPr>
            <w:r>
              <w:rPr/>
              <w:t xml:space="preserve">In the paper two different kinds of change are presented: those that are changes in the stated form of the international releases and those which are not. Although for the international release a </w:t>
            </w:r>
            <w:hyperlink r:id="rId2">
              <w:r>
                <w:rPr>
                  <w:rStyle w:val="InternetLink"/>
                </w:rPr>
                <w:t>Distribution Normal Form</w:t>
              </w:r>
            </w:hyperlink>
            <w:r>
              <w:rPr/>
              <w:t xml:space="preserve"> transform has been applied, the release can be considered a derivative of the stated form. Changes to inferred relationships which do not require or entail changes in the stated form are in this sense different from changes that do as they do not change the meaning of the concept.</w:t>
            </w:r>
          </w:p>
          <w:p>
            <w:pPr>
              <w:pStyle w:val="Normal"/>
              <w:spacing w:lineRule="auto" w:line="240" w:before="0" w:after="0"/>
              <w:rPr/>
            </w:pPr>
            <w:r>
              <w:rPr/>
            </w:r>
          </w:p>
          <w:p>
            <w:pPr>
              <w:pStyle w:val="Normal"/>
              <w:spacing w:lineRule="auto" w:line="240" w:before="0" w:after="0"/>
              <w:rPr/>
            </w:pPr>
            <w:r>
              <w:rPr/>
              <w:t>Examples:</w:t>
            </w:r>
          </w:p>
          <w:p>
            <w:pPr>
              <w:pStyle w:val="Normal"/>
              <w:numPr>
                <w:ilvl w:val="0"/>
                <w:numId w:val="1"/>
              </w:numPr>
              <w:spacing w:lineRule="auto" w:line="240" w:before="0" w:after="0"/>
              <w:rPr/>
            </w:pPr>
            <w:r>
              <w:rPr/>
              <w:t>Introducing a fully defined intermediate concept does not in any way require changes in the stated form. The changes is purely additional.</w:t>
            </w:r>
          </w:p>
          <w:p>
            <w:pPr>
              <w:pStyle w:val="Normal"/>
              <w:numPr>
                <w:ilvl w:val="0"/>
                <w:numId w:val="1"/>
              </w:numPr>
              <w:spacing w:lineRule="auto" w:line="240" w:before="0" w:after="0"/>
              <w:rPr/>
            </w:pPr>
            <w:r>
              <w:rPr/>
              <w:t xml:space="preserve">Introducing a primitive intermediate concept (in relation to the international release) requires change to the immediate children </w:t>
            </w:r>
            <w:r>
              <w:rPr/>
              <w:t>of the added concepts</w:t>
            </w:r>
            <w:r>
              <w:rPr/>
              <w:t>, i.e. to add or replace focus concepts in existing definitions.</w:t>
            </w:r>
          </w:p>
          <w:p>
            <w:pPr>
              <w:pStyle w:val="Normal"/>
              <w:spacing w:lineRule="auto" w:line="240" w:before="0" w:after="0"/>
              <w:rPr/>
            </w:pPr>
            <w:r>
              <w:rPr/>
            </w:r>
          </w:p>
          <w:p>
            <w:pPr>
              <w:pStyle w:val="Normal"/>
              <w:spacing w:lineRule="auto" w:line="240" w:before="0" w:after="0"/>
              <w:rPr/>
            </w:pPr>
            <w:r>
              <w:rPr/>
              <w:t xml:space="preserve">In principle, we believe that changes which do not/would not alter the stated form should be allowed and that changes that do should not be allowed. </w:t>
            </w:r>
          </w:p>
        </w:tc>
      </w:tr>
      <w:tr>
        <w:trPr/>
        <w:tc>
          <w:tcPr>
            <w:tcW w:w="1559" w:type="dxa"/>
            <w:tcBorders/>
            <w:shd w:fill="auto" w:val="clear"/>
            <w:tcMar>
              <w:left w:w="103" w:type="dxa"/>
            </w:tcMar>
          </w:tcPr>
          <w:p>
            <w:pPr>
              <w:pStyle w:val="Normal"/>
              <w:spacing w:lineRule="auto" w:line="240" w:before="0" w:after="0"/>
              <w:rPr/>
            </w:pPr>
            <w:r>
              <w:rPr/>
              <w:t>Technical</w:t>
            </w:r>
          </w:p>
        </w:tc>
        <w:tc>
          <w:tcPr>
            <w:tcW w:w="1843" w:type="dxa"/>
            <w:tcBorders/>
            <w:shd w:fill="auto" w:val="clear"/>
            <w:tcMar>
              <w:left w:w="103" w:type="dxa"/>
            </w:tcMar>
          </w:tcPr>
          <w:p>
            <w:pPr>
              <w:pStyle w:val="Normal"/>
              <w:spacing w:lineRule="auto" w:line="240" w:before="0" w:after="0"/>
              <w:rPr/>
            </w:pPr>
            <w:r>
              <w:rPr/>
              <w:t>4</w:t>
            </w:r>
          </w:p>
        </w:tc>
        <w:tc>
          <w:tcPr>
            <w:tcW w:w="1701" w:type="dxa"/>
            <w:tcBorders/>
            <w:shd w:fill="auto" w:val="clear"/>
            <w:tcMar>
              <w:left w:w="103" w:type="dxa"/>
            </w:tcMar>
          </w:tcPr>
          <w:p>
            <w:pPr>
              <w:pStyle w:val="Normal"/>
              <w:spacing w:lineRule="auto" w:line="240" w:before="0" w:after="0"/>
              <w:rPr/>
            </w:pPr>
            <w:r>
              <w:rPr/>
              <w:t xml:space="preserve">Possible changes include: </w:t>
            </w:r>
          </w:p>
          <w:p>
            <w:pPr>
              <w:pStyle w:val="Normal"/>
              <w:spacing w:lineRule="auto" w:line="240" w:before="0" w:after="0"/>
              <w:rPr/>
            </w:pPr>
            <w:r>
              <w:rPr/>
              <w:t xml:space="preserve">● </w:t>
            </w:r>
            <w:r>
              <w:rPr/>
              <w:t>Inactivation of core component; ● Changing the logical definition of core components (add/retire attributes); ● Addressing mistakes in terms; ● Changing the IS A relationships</w:t>
            </w:r>
          </w:p>
        </w:tc>
        <w:tc>
          <w:tcPr>
            <w:tcW w:w="9780" w:type="dxa"/>
            <w:tcBorders/>
            <w:shd w:fill="auto" w:val="clear"/>
            <w:tcMar>
              <w:left w:w="103" w:type="dxa"/>
            </w:tcMar>
          </w:tcPr>
          <w:p>
            <w:pPr>
              <w:pStyle w:val="Normal"/>
              <w:spacing w:lineRule="auto" w:line="240" w:before="0" w:after="0"/>
              <w:rPr/>
            </w:pPr>
            <w:r>
              <w:rPr/>
              <w:t>It’s not clear whether the kinds of change mentioned are in relation to the stated form or the distribution normal form. We assume the first three items would require changes to the stated form. For item four, it cannot be decided according to the above rule.</w:t>
            </w:r>
          </w:p>
          <w:p>
            <w:pPr>
              <w:pStyle w:val="Normal"/>
              <w:spacing w:lineRule="auto" w:line="240" w:before="0" w:after="0"/>
              <w:rPr/>
            </w:pPr>
            <w:r>
              <w:rPr/>
            </w:r>
          </w:p>
          <w:p>
            <w:pPr>
              <w:pStyle w:val="Normal"/>
              <w:spacing w:lineRule="auto" w:line="240" w:before="0" w:after="0"/>
              <w:rPr/>
            </w:pPr>
            <w:r>
              <w:rPr/>
              <w:t>Changes to names should be made in a national language reference set.</w:t>
            </w:r>
          </w:p>
        </w:tc>
      </w:tr>
      <w:tr>
        <w:trPr/>
        <w:tc>
          <w:tcPr>
            <w:tcW w:w="1559" w:type="dxa"/>
            <w:tcBorders>
              <w:top w:val="nil"/>
            </w:tcBorders>
            <w:shd w:fill="auto" w:val="clear"/>
            <w:tcMar>
              <w:left w:w="103" w:type="dxa"/>
            </w:tcMar>
          </w:tcPr>
          <w:p>
            <w:pPr>
              <w:pStyle w:val="Normal"/>
              <w:spacing w:lineRule="auto" w:line="240" w:before="0" w:after="0"/>
              <w:rPr/>
            </w:pPr>
            <w:r>
              <w:rPr/>
              <w:t>Technical</w:t>
            </w:r>
          </w:p>
        </w:tc>
        <w:tc>
          <w:tcPr>
            <w:tcW w:w="1843" w:type="dxa"/>
            <w:tcBorders>
              <w:top w:val="nil"/>
            </w:tcBorders>
            <w:shd w:fill="auto" w:val="clear"/>
            <w:tcMar>
              <w:left w:w="103" w:type="dxa"/>
            </w:tcMar>
          </w:tcPr>
          <w:p>
            <w:pPr>
              <w:pStyle w:val="Normal"/>
              <w:spacing w:lineRule="auto" w:line="240" w:before="0" w:after="0"/>
              <w:rPr/>
            </w:pPr>
            <w:r>
              <w:rPr/>
              <w:t>5</w:t>
            </w:r>
          </w:p>
        </w:tc>
        <w:tc>
          <w:tcPr>
            <w:tcW w:w="1701" w:type="dxa"/>
            <w:tcBorders>
              <w:top w:val="nil"/>
            </w:tcBorders>
            <w:shd w:fill="auto" w:val="clear"/>
            <w:tcMar>
              <w:left w:w="103" w:type="dxa"/>
            </w:tcMar>
          </w:tcPr>
          <w:p>
            <w:pPr>
              <w:pStyle w:val="Normal"/>
              <w:spacing w:lineRule="auto" w:line="240" w:before="0" w:after="0"/>
              <w:rPr/>
            </w:pPr>
            <w:r>
              <w:rPr/>
            </w:r>
          </w:p>
        </w:tc>
        <w:tc>
          <w:tcPr>
            <w:tcW w:w="9780" w:type="dxa"/>
            <w:tcBorders>
              <w:top w:val="nil"/>
            </w:tcBorders>
            <w:shd w:fill="auto" w:val="clear"/>
            <w:tcMar>
              <w:left w:w="103" w:type="dxa"/>
            </w:tcMar>
          </w:tcPr>
          <w:p>
            <w:pPr>
              <w:pStyle w:val="Normal"/>
              <w:spacing w:lineRule="auto" w:line="240" w:before="0" w:after="0"/>
              <w:rPr/>
            </w:pPr>
            <w:r>
              <w:rPr/>
              <w:t xml:space="preserve">In the numbered item list (1-7) we believe that the license should be written so that it is clear that 1-3 is allowed. Further, according to the interpretation and rule above, we believe that 4-6 should not be allowed and that 7 can be managed through refsets. </w:t>
            </w:r>
          </w:p>
          <w:p>
            <w:pPr>
              <w:pStyle w:val="Normal"/>
              <w:spacing w:lineRule="auto" w:line="240" w:before="0" w:after="0"/>
              <w:rPr/>
            </w:pPr>
            <w:r>
              <w:rPr/>
            </w:r>
          </w:p>
          <w:p>
            <w:pPr>
              <w:pStyle w:val="Normal"/>
              <w:spacing w:lineRule="auto" w:line="240" w:before="0" w:after="0"/>
              <w:rPr/>
            </w:pPr>
            <w:r>
              <w:rPr/>
              <w:t>The Swedish NRC does 1-3 already and do not see a need for 4-7.</w:t>
            </w:r>
          </w:p>
        </w:tc>
      </w:tr>
      <w:tr>
        <w:trPr/>
        <w:tc>
          <w:tcPr>
            <w:tcW w:w="1559" w:type="dxa"/>
            <w:tcBorders>
              <w:top w:val="nil"/>
            </w:tcBorders>
            <w:shd w:fill="auto" w:val="clear"/>
            <w:tcMar>
              <w:left w:w="103" w:type="dxa"/>
            </w:tcMar>
          </w:tcPr>
          <w:p>
            <w:pPr>
              <w:pStyle w:val="Normal"/>
              <w:spacing w:lineRule="auto" w:line="240" w:before="0" w:after="0"/>
              <w:rPr/>
            </w:pPr>
            <w:r>
              <w:rPr/>
              <w:t>Technical</w:t>
            </w:r>
          </w:p>
        </w:tc>
        <w:tc>
          <w:tcPr>
            <w:tcW w:w="1843" w:type="dxa"/>
            <w:tcBorders>
              <w:top w:val="nil"/>
            </w:tcBorders>
            <w:shd w:fill="auto" w:val="clear"/>
            <w:tcMar>
              <w:left w:w="103" w:type="dxa"/>
            </w:tcMar>
          </w:tcPr>
          <w:p>
            <w:pPr>
              <w:pStyle w:val="Normal"/>
              <w:spacing w:lineRule="auto" w:line="240" w:before="0" w:after="0"/>
              <w:rPr/>
            </w:pPr>
            <w:r>
              <w:rPr/>
              <w:t>5.6</w:t>
            </w:r>
          </w:p>
        </w:tc>
        <w:tc>
          <w:tcPr>
            <w:tcW w:w="1701" w:type="dxa"/>
            <w:tcBorders>
              <w:top w:val="nil"/>
            </w:tcBorders>
            <w:shd w:fill="auto" w:val="clear"/>
            <w:tcMar>
              <w:left w:w="103" w:type="dxa"/>
            </w:tcMar>
          </w:tcPr>
          <w:p>
            <w:pPr>
              <w:pStyle w:val="Normal"/>
              <w:spacing w:lineRule="auto" w:line="240" w:before="0" w:after="0"/>
              <w:rPr/>
            </w:pPr>
            <w:r>
              <w:rPr/>
            </w:r>
          </w:p>
        </w:tc>
        <w:tc>
          <w:tcPr>
            <w:tcW w:w="9780" w:type="dxa"/>
            <w:tcBorders>
              <w:top w:val="nil"/>
            </w:tcBorders>
            <w:shd w:fill="auto" w:val="clear"/>
            <w:tcMar>
              <w:left w:w="103" w:type="dxa"/>
            </w:tcMar>
          </w:tcPr>
          <w:p>
            <w:pPr>
              <w:pStyle w:val="Normal"/>
              <w:spacing w:lineRule="auto" w:line="240" w:before="0" w:after="0"/>
              <w:rPr/>
            </w:pPr>
            <w:r>
              <w:rPr/>
              <w:t>We believe that management of errors in SNOMED CT international releases should be managed by the IHTSDO, although responsibility for implementing changes could be distributed. We find fhe risk of creating multiple non-compatible versions of SNOMED CT is larger than the benefit of promptly responding to user requests. In pressing cases, fast-track development should offer the possibility of correcting serious errors in the international release through collaboration with the IHTSDO.</w:t>
            </w:r>
          </w:p>
        </w:tc>
      </w:tr>
    </w:tbl>
    <w:p>
      <w:pPr>
        <w:pStyle w:val="Normal"/>
        <w:spacing w:before="0" w:after="160"/>
        <w:rPr/>
      </w:pPr>
      <w:r>
        <w:rPr/>
        <w:tab/>
      </w:r>
    </w:p>
    <w:sectPr>
      <w:type w:val="nextPage"/>
      <w:pgSz w:orient="landscape" w:w="16838" w:h="11906"/>
      <w:pgMar w:left="1440" w:right="1440" w:header="0" w:top="1440" w:footer="0" w:bottom="144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Symbol">
    <w:charset w:val="02"/>
    <w:family w:val="auto"/>
    <w:pitch w:val="default"/>
  </w:font>
  <w:font w:name="OpenSymbol">
    <w:altName w:val="Arial Unicode MS"/>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GB"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00000A"/>
      <w:sz w:val="22"/>
      <w:szCs w:val="22"/>
      <w:lang w:val="en-GB"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rsid w:val="00c00ab2"/>
    <w:rPr>
      <w:color w:val="0563C1" w:themeColor="hyperlink"/>
      <w:u w:val="single"/>
    </w:rPr>
  </w:style>
  <w:style w:type="character" w:styleId="BalloonTextChar" w:customStyle="1">
    <w:name w:val="Balloon Text Char"/>
    <w:basedOn w:val="DefaultParagraphFont"/>
    <w:link w:val="BalloonText"/>
    <w:uiPriority w:val="99"/>
    <w:semiHidden/>
    <w:qFormat/>
    <w:rsid w:val="000372be"/>
    <w:rPr>
      <w:rFonts w:ascii="Tahoma" w:hAnsi="Tahoma" w:cs="Tahoma"/>
      <w:sz w:val="16"/>
      <w:szCs w:val="16"/>
    </w:rPr>
  </w:style>
  <w:style w:type="character" w:styleId="Bullets">
    <w:name w:val="Bullets"/>
    <w:qFormat/>
    <w:rPr>
      <w:rFonts w:ascii="OpenSymbol" w:hAnsi="OpenSymbol" w:eastAsia="OpenSymbol" w:cs="OpenSymbol"/>
    </w:rPr>
  </w:style>
  <w:style w:type="character" w:styleId="ListLabel1">
    <w:name w:val="ListLabel 1"/>
    <w:qFormat/>
    <w:rPr>
      <w:rFonts w:cs="OpenSymbol"/>
    </w:rPr>
  </w:style>
  <w:style w:type="character" w:styleId="ListLabel2">
    <w:name w:val="ListLabel 2"/>
    <w:qFormat/>
    <w:rPr>
      <w:rFonts w:cs="OpenSymbol"/>
    </w:rPr>
  </w:style>
  <w:style w:type="character" w:styleId="ListLabel3">
    <w:name w:val="ListLabel 3"/>
    <w:qFormat/>
    <w:rPr>
      <w:rFonts w:cs="OpenSymbol"/>
    </w:rPr>
  </w:style>
  <w:style w:type="character" w:styleId="ListLabel4">
    <w:name w:val="ListLabel 4"/>
    <w:qFormat/>
    <w:rPr>
      <w:rFonts w:cs="OpenSymbol"/>
    </w:rPr>
  </w:style>
  <w:style w:type="character" w:styleId="ListLabel5">
    <w:name w:val="ListLabel 5"/>
    <w:qFormat/>
    <w:rPr>
      <w:rFonts w:cs="OpenSymbol"/>
    </w:rPr>
  </w:style>
  <w:style w:type="character" w:styleId="ListLabel6">
    <w:name w:val="ListLabel 6"/>
    <w:qFormat/>
    <w:rPr>
      <w:rFonts w:cs="OpenSymbol"/>
    </w:rPr>
  </w:style>
  <w:style w:type="character" w:styleId="ListLabel7">
    <w:name w:val="ListLabel 7"/>
    <w:qFormat/>
    <w:rPr>
      <w:rFonts w:cs="OpenSymbol"/>
    </w:rPr>
  </w:style>
  <w:style w:type="character" w:styleId="ListLabel8">
    <w:name w:val="ListLabel 8"/>
    <w:qFormat/>
    <w:rPr>
      <w:rFonts w:cs="OpenSymbol"/>
    </w:rPr>
  </w:style>
  <w:style w:type="character" w:styleId="ListLabel9">
    <w:name w:val="ListLabel 9"/>
    <w:qFormat/>
    <w:rPr>
      <w:rFonts w:cs="OpenSymbol"/>
    </w:rPr>
  </w:style>
  <w:style w:type="paragraph" w:styleId="Heading">
    <w:name w:val="Heading"/>
    <w:basedOn w:val="Normal"/>
    <w:next w:val="TextBody"/>
    <w:qFormat/>
    <w:pPr>
      <w:keepNext/>
      <w:spacing w:before="240" w:after="120"/>
    </w:pPr>
    <w:rPr>
      <w:rFonts w:ascii="Liberation Sans" w:hAnsi="Liberation Sans" w:eastAsia="Noto Sans CJK SC Regular" w:cs="FreeSans"/>
      <w:sz w:val="28"/>
      <w:szCs w:val="28"/>
    </w:rPr>
  </w:style>
  <w:style w:type="paragraph" w:styleId="TextBody">
    <w:name w:val="Body Text"/>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ListParagraph">
    <w:name w:val="List Paragraph"/>
    <w:basedOn w:val="Normal"/>
    <w:uiPriority w:val="34"/>
    <w:qFormat/>
    <w:rsid w:val="00ae4d87"/>
    <w:pPr>
      <w:spacing w:before="0" w:after="160"/>
      <w:ind w:left="720" w:hanging="0"/>
      <w:contextualSpacing/>
    </w:pPr>
    <w:rPr/>
  </w:style>
  <w:style w:type="paragraph" w:styleId="BalloonText">
    <w:name w:val="Balloon Text"/>
    <w:basedOn w:val="Normal"/>
    <w:link w:val="BalloonTextChar"/>
    <w:uiPriority w:val="99"/>
    <w:semiHidden/>
    <w:unhideWhenUsed/>
    <w:qFormat/>
    <w:rsid w:val="000372be"/>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00695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ncbi.nlm.nih.gov/pmc/articles/PMC2243264/" TargetMode="Externa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Application>LibreOffice/5.1.4.2$Linux_X86_64 LibreOffice_project/10m0$Build-2</Application>
  <Pages>2</Pages>
  <Words>456</Words>
  <Characters>2402</Characters>
  <CharactersWithSpaces>2832</CharactersWithSpaces>
  <Paragraphs>29</Paragraphs>
  <Company>Health &amp; Social Care Information Centre</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2016-09-12T08:27:00Z</dcterms:created>
  <dc:creator>Edward Cheetham</dc:creator>
  <dc:description/>
  <dc:language>en-US</dc:language>
  <cp:lastModifiedBy/>
  <dcterms:modified xsi:type="dcterms:W3CDTF">2016-09-13T16:09:21Z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Health &amp; Social Care Information Centre</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